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A7452" w14:textId="77777777" w:rsidR="002830AC" w:rsidRDefault="005D23BC">
      <w:pPr>
        <w:spacing w:line="259" w:lineRule="auto"/>
        <w:ind w:left="0" w:right="125" w:firstLine="0"/>
        <w:jc w:val="center"/>
      </w:pPr>
      <w:r>
        <w:rPr>
          <w:sz w:val="56"/>
        </w:rPr>
        <w:t xml:space="preserve">GARANTÍA DE ALQUILER  </w:t>
      </w:r>
    </w:p>
    <w:p w14:paraId="0C3D3221" w14:textId="77777777" w:rsidR="002830AC" w:rsidRDefault="005D23BC">
      <w:pPr>
        <w:spacing w:after="89" w:line="259" w:lineRule="auto"/>
        <w:ind w:left="0" w:right="138" w:firstLine="0"/>
        <w:jc w:val="center"/>
      </w:pPr>
      <w:r>
        <w:rPr>
          <w:sz w:val="36"/>
        </w:rPr>
        <w:t xml:space="preserve">Instructivo para el Asegurado </w:t>
      </w:r>
    </w:p>
    <w:p w14:paraId="22B8C247" w14:textId="77777777" w:rsidR="002830AC" w:rsidRPr="005D23BC" w:rsidRDefault="005D23BC">
      <w:pPr>
        <w:pStyle w:val="Ttulo1"/>
        <w:ind w:left="79" w:right="0"/>
        <w:jc w:val="left"/>
        <w:rPr>
          <w:sz w:val="20"/>
          <w:szCs w:val="20"/>
        </w:rPr>
      </w:pPr>
      <w:r w:rsidRPr="005D23BC">
        <w:rPr>
          <w:b w:val="0"/>
          <w:sz w:val="20"/>
          <w:szCs w:val="20"/>
          <w:u w:val="single" w:color="000000"/>
        </w:rPr>
        <w:t>Definiciones Previas</w:t>
      </w:r>
      <w:r w:rsidRPr="005D23BC">
        <w:rPr>
          <w:b w:val="0"/>
          <w:sz w:val="20"/>
          <w:szCs w:val="20"/>
        </w:rPr>
        <w:t xml:space="preserve"> </w:t>
      </w:r>
    </w:p>
    <w:p w14:paraId="2501F0AA" w14:textId="77777777" w:rsidR="002830AC" w:rsidRPr="005D23BC" w:rsidRDefault="005D23BC" w:rsidP="00CF45F1">
      <w:pPr>
        <w:ind w:right="652"/>
        <w:jc w:val="both"/>
        <w:rPr>
          <w:sz w:val="20"/>
          <w:szCs w:val="20"/>
        </w:rPr>
      </w:pPr>
      <w:r w:rsidRPr="005D23BC">
        <w:rPr>
          <w:b/>
          <w:sz w:val="20"/>
          <w:szCs w:val="20"/>
        </w:rPr>
        <w:t>TOMADOR / INQUILINO:</w:t>
      </w:r>
      <w:r w:rsidRPr="005D23BC">
        <w:rPr>
          <w:sz w:val="20"/>
          <w:szCs w:val="20"/>
        </w:rPr>
        <w:t xml:space="preserve"> persona física o jurídica que cumpliendo con los requisitos exigidos solicita la contratación del seguro. </w:t>
      </w:r>
    </w:p>
    <w:p w14:paraId="567A7F8D" w14:textId="77777777" w:rsidR="002830AC" w:rsidRPr="005D23BC" w:rsidRDefault="005D23BC" w:rsidP="00CF45F1">
      <w:pPr>
        <w:ind w:right="652"/>
        <w:jc w:val="both"/>
        <w:rPr>
          <w:sz w:val="20"/>
          <w:szCs w:val="20"/>
        </w:rPr>
      </w:pPr>
      <w:r w:rsidRPr="005D23BC">
        <w:rPr>
          <w:b/>
          <w:sz w:val="20"/>
          <w:szCs w:val="20"/>
        </w:rPr>
        <w:t>ASEGURADO / PROPIETARIO:</w:t>
      </w:r>
      <w:r w:rsidRPr="005D23BC">
        <w:rPr>
          <w:sz w:val="20"/>
          <w:szCs w:val="20"/>
        </w:rPr>
        <w:t xml:space="preserve"> persona física o jurídica a la que se le garantiza el cumplimiento de la obligación afianzada. </w:t>
      </w:r>
    </w:p>
    <w:p w14:paraId="347C1D3D" w14:textId="77777777" w:rsidR="002830AC" w:rsidRPr="005D23BC" w:rsidRDefault="005D23BC" w:rsidP="00CF45F1">
      <w:pPr>
        <w:ind w:right="652"/>
        <w:jc w:val="both"/>
        <w:rPr>
          <w:sz w:val="20"/>
          <w:szCs w:val="20"/>
        </w:rPr>
      </w:pPr>
      <w:r w:rsidRPr="005D23BC">
        <w:rPr>
          <w:b/>
          <w:sz w:val="20"/>
          <w:szCs w:val="20"/>
        </w:rPr>
        <w:t>ASEGURADOR:</w:t>
      </w:r>
      <w:r w:rsidRPr="005D23BC">
        <w:rPr>
          <w:sz w:val="20"/>
          <w:szCs w:val="20"/>
        </w:rPr>
        <w:t xml:space="preserve"> MAPFRE URUGUAY SEGUROS S.A. </w:t>
      </w:r>
    </w:p>
    <w:p w14:paraId="187A7EE9" w14:textId="77777777" w:rsidR="002830AC" w:rsidRPr="005D23BC" w:rsidRDefault="005D23BC">
      <w:pPr>
        <w:spacing w:line="259" w:lineRule="auto"/>
        <w:ind w:left="79" w:firstLine="0"/>
        <w:rPr>
          <w:sz w:val="20"/>
          <w:szCs w:val="20"/>
        </w:rPr>
      </w:pPr>
      <w:r w:rsidRPr="005D23BC">
        <w:rPr>
          <w:sz w:val="20"/>
          <w:szCs w:val="20"/>
        </w:rPr>
        <w:t xml:space="preserve"> </w:t>
      </w:r>
    </w:p>
    <w:p w14:paraId="2E636AA4" w14:textId="77777777" w:rsidR="002830AC" w:rsidRPr="005D23BC" w:rsidRDefault="005D23BC" w:rsidP="00117742">
      <w:pPr>
        <w:spacing w:after="238"/>
        <w:ind w:right="652"/>
        <w:jc w:val="both"/>
        <w:rPr>
          <w:sz w:val="20"/>
          <w:szCs w:val="20"/>
        </w:rPr>
      </w:pPr>
      <w:r w:rsidRPr="005D23BC">
        <w:rPr>
          <w:sz w:val="20"/>
          <w:szCs w:val="20"/>
        </w:rPr>
        <w:t>En caso de cualquier incumplimiento del inquilino cubierto por la póliza se actuará en base al siguiente instructivo:</w:t>
      </w:r>
    </w:p>
    <w:p w14:paraId="1D37CF63" w14:textId="7F418442" w:rsidR="00D36F38" w:rsidRPr="005D23BC" w:rsidRDefault="00E85BF0" w:rsidP="00CF45F1">
      <w:pPr>
        <w:pStyle w:val="Prrafodelista"/>
        <w:numPr>
          <w:ilvl w:val="0"/>
          <w:numId w:val="5"/>
        </w:numPr>
        <w:spacing w:after="238"/>
        <w:ind w:right="652"/>
        <w:jc w:val="both"/>
        <w:rPr>
          <w:sz w:val="20"/>
          <w:szCs w:val="20"/>
        </w:rPr>
      </w:pPr>
      <w:r w:rsidRPr="005D23BC">
        <w:rPr>
          <w:sz w:val="20"/>
          <w:szCs w:val="20"/>
        </w:rPr>
        <w:t>En caso de incumplimiento v</w:t>
      </w:r>
      <w:r w:rsidR="005D23BC" w:rsidRPr="005D23BC">
        <w:rPr>
          <w:sz w:val="20"/>
          <w:szCs w:val="20"/>
        </w:rPr>
        <w:t xml:space="preserve">encido el plazo </w:t>
      </w:r>
      <w:r w:rsidR="00E96CE9" w:rsidRPr="005D23BC">
        <w:rPr>
          <w:sz w:val="20"/>
          <w:szCs w:val="20"/>
        </w:rPr>
        <w:t xml:space="preserve">previsto en el contrato para el </w:t>
      </w:r>
      <w:r w:rsidR="005D23BC" w:rsidRPr="005D23BC">
        <w:rPr>
          <w:sz w:val="20"/>
          <w:szCs w:val="20"/>
        </w:rPr>
        <w:t xml:space="preserve">pago de las obligaciones (ejemplo: alquiler, </w:t>
      </w:r>
      <w:r w:rsidR="00E96CE9" w:rsidRPr="005D23BC">
        <w:rPr>
          <w:sz w:val="20"/>
          <w:szCs w:val="20"/>
        </w:rPr>
        <w:t xml:space="preserve">generalmente se pacta el pago del </w:t>
      </w:r>
      <w:r w:rsidR="005D23BC" w:rsidRPr="005D23BC">
        <w:rPr>
          <w:sz w:val="20"/>
          <w:szCs w:val="20"/>
        </w:rPr>
        <w:t>1° al 10 de cada mes)</w:t>
      </w:r>
      <w:r w:rsidRPr="005D23BC">
        <w:rPr>
          <w:sz w:val="20"/>
          <w:szCs w:val="20"/>
        </w:rPr>
        <w:t>,</w:t>
      </w:r>
      <w:r w:rsidR="005D23BC" w:rsidRPr="005D23BC">
        <w:rPr>
          <w:sz w:val="20"/>
          <w:szCs w:val="20"/>
        </w:rPr>
        <w:t xml:space="preserve"> </w:t>
      </w:r>
      <w:r w:rsidR="00E96CE9" w:rsidRPr="005D23BC">
        <w:rPr>
          <w:sz w:val="20"/>
          <w:szCs w:val="20"/>
        </w:rPr>
        <w:t xml:space="preserve">se debe denunciar el incumplimiento/expectativa de siniestro, mediante correo electrónico a la casilla </w:t>
      </w:r>
      <w:hyperlink r:id="rId5" w:history="1">
        <w:r w:rsidR="00E96CE9" w:rsidRPr="005D23BC">
          <w:rPr>
            <w:sz w:val="20"/>
            <w:szCs w:val="20"/>
          </w:rPr>
          <w:t>siniestrosalquileres@mapfre.com.uy</w:t>
        </w:r>
      </w:hyperlink>
      <w:r w:rsidR="00D36F38" w:rsidRPr="005D23BC">
        <w:rPr>
          <w:sz w:val="20"/>
          <w:szCs w:val="20"/>
        </w:rPr>
        <w:t xml:space="preserve">. </w:t>
      </w:r>
    </w:p>
    <w:p w14:paraId="1B7B7521" w14:textId="188764EE" w:rsidR="00D36F38" w:rsidRPr="005D23BC" w:rsidRDefault="00D36F38" w:rsidP="00CF45F1">
      <w:pPr>
        <w:spacing w:after="238"/>
        <w:ind w:left="180" w:right="652" w:firstLine="619"/>
        <w:jc w:val="both"/>
        <w:rPr>
          <w:sz w:val="20"/>
          <w:szCs w:val="20"/>
        </w:rPr>
      </w:pPr>
      <w:r w:rsidRPr="005D23BC">
        <w:rPr>
          <w:sz w:val="20"/>
          <w:szCs w:val="20"/>
        </w:rPr>
        <w:t>Se deberá adjuntar al correo:</w:t>
      </w:r>
    </w:p>
    <w:p w14:paraId="76BDCB7E" w14:textId="6A224D2B" w:rsidR="00D36F38" w:rsidRPr="005D23BC" w:rsidRDefault="00E96CE9" w:rsidP="00CF45F1">
      <w:pPr>
        <w:pStyle w:val="Prrafodelista"/>
        <w:numPr>
          <w:ilvl w:val="1"/>
          <w:numId w:val="5"/>
        </w:numPr>
        <w:spacing w:after="238"/>
        <w:ind w:right="652"/>
        <w:jc w:val="both"/>
        <w:rPr>
          <w:sz w:val="20"/>
          <w:szCs w:val="20"/>
        </w:rPr>
      </w:pPr>
      <w:r w:rsidRPr="005D23BC">
        <w:rPr>
          <w:sz w:val="20"/>
          <w:szCs w:val="20"/>
        </w:rPr>
        <w:t>Comunicación de Expectativa de Siniestro (de acuerdo con el modelo de MAPFRE)</w:t>
      </w:r>
      <w:r w:rsidR="00D36F38" w:rsidRPr="005D23BC">
        <w:rPr>
          <w:sz w:val="20"/>
          <w:szCs w:val="20"/>
        </w:rPr>
        <w:t>;</w:t>
      </w:r>
      <w:r w:rsidRPr="005D23BC">
        <w:rPr>
          <w:sz w:val="20"/>
          <w:szCs w:val="20"/>
        </w:rPr>
        <w:t xml:space="preserve"> </w:t>
      </w:r>
    </w:p>
    <w:p w14:paraId="40F75612" w14:textId="77777777" w:rsidR="00CF45F1" w:rsidRPr="005D23BC" w:rsidRDefault="00CF45F1" w:rsidP="00CF45F1">
      <w:pPr>
        <w:pStyle w:val="Prrafodelista"/>
        <w:spacing w:after="238"/>
        <w:ind w:left="1519" w:right="652" w:firstLine="0"/>
        <w:jc w:val="both"/>
        <w:rPr>
          <w:sz w:val="20"/>
          <w:szCs w:val="20"/>
        </w:rPr>
      </w:pPr>
    </w:p>
    <w:p w14:paraId="53BC0682" w14:textId="5C2AF31F" w:rsidR="002830AC" w:rsidRPr="005D23BC" w:rsidRDefault="00E96CE9" w:rsidP="00CF45F1">
      <w:pPr>
        <w:pStyle w:val="Prrafodelista"/>
        <w:numPr>
          <w:ilvl w:val="1"/>
          <w:numId w:val="5"/>
        </w:numPr>
        <w:spacing w:after="238"/>
        <w:ind w:right="652"/>
        <w:jc w:val="both"/>
        <w:rPr>
          <w:sz w:val="20"/>
          <w:szCs w:val="20"/>
        </w:rPr>
      </w:pPr>
      <w:r w:rsidRPr="005D23BC">
        <w:rPr>
          <w:sz w:val="20"/>
          <w:szCs w:val="20"/>
        </w:rPr>
        <w:t>Contrato de Arrendamiento firmado</w:t>
      </w:r>
      <w:r w:rsidR="005D23BC" w:rsidRPr="005D23BC">
        <w:rPr>
          <w:sz w:val="20"/>
          <w:szCs w:val="20"/>
        </w:rPr>
        <w:t xml:space="preserve">.  </w:t>
      </w:r>
    </w:p>
    <w:tbl>
      <w:tblPr>
        <w:tblStyle w:val="TableGrid"/>
        <w:tblW w:w="6938" w:type="dxa"/>
        <w:jc w:val="center"/>
        <w:tblInd w:w="0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38"/>
      </w:tblGrid>
      <w:tr w:rsidR="00117742" w:rsidRPr="005D23BC" w14:paraId="4E0F5F38" w14:textId="77777777" w:rsidTr="00CF45F1">
        <w:trPr>
          <w:trHeight w:val="276"/>
          <w:jc w:val="center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AD512A" w14:textId="77777777" w:rsidR="00117742" w:rsidRPr="005D23BC" w:rsidRDefault="00117742" w:rsidP="00730E48">
            <w:pPr>
              <w:spacing w:line="259" w:lineRule="auto"/>
              <w:ind w:left="10" w:firstLine="0"/>
              <w:jc w:val="center"/>
              <w:rPr>
                <w:sz w:val="20"/>
                <w:szCs w:val="20"/>
              </w:rPr>
            </w:pPr>
            <w:r w:rsidRPr="005D23BC">
              <w:rPr>
                <w:b/>
                <w:sz w:val="20"/>
                <w:szCs w:val="20"/>
                <w:u w:val="single" w:color="000000"/>
              </w:rPr>
              <w:t>IMPORTANTE</w:t>
            </w:r>
            <w:r w:rsidRPr="005D23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17742" w:rsidRPr="005D23BC" w14:paraId="1FCEF2BF" w14:textId="77777777" w:rsidTr="00CF45F1">
        <w:trPr>
          <w:trHeight w:val="788"/>
          <w:jc w:val="center"/>
        </w:trPr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D292" w14:textId="33C3ADCA" w:rsidR="00117742" w:rsidRPr="005D23BC" w:rsidRDefault="00117742" w:rsidP="00730E48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5D23BC">
              <w:rPr>
                <w:sz w:val="20"/>
                <w:szCs w:val="20"/>
              </w:rPr>
              <w:t>MAPFRE no realizará gestiones de ningún tipo hasta no haya recibido toda la documentación solicitada</w:t>
            </w:r>
            <w:r w:rsidR="00E85BF0" w:rsidRPr="005D23BC">
              <w:rPr>
                <w:sz w:val="20"/>
                <w:szCs w:val="20"/>
              </w:rPr>
              <w:t xml:space="preserve"> en formato digital</w:t>
            </w:r>
            <w:r w:rsidRPr="005D23BC">
              <w:rPr>
                <w:sz w:val="20"/>
                <w:szCs w:val="20"/>
              </w:rPr>
              <w:t xml:space="preserve">. </w:t>
            </w:r>
          </w:p>
        </w:tc>
      </w:tr>
    </w:tbl>
    <w:p w14:paraId="7332595B" w14:textId="77777777" w:rsidR="00E96CE9" w:rsidRPr="005D23BC" w:rsidRDefault="00E96CE9" w:rsidP="00117742">
      <w:pPr>
        <w:spacing w:after="238"/>
        <w:ind w:right="652"/>
        <w:jc w:val="both"/>
        <w:rPr>
          <w:sz w:val="20"/>
          <w:szCs w:val="20"/>
        </w:rPr>
      </w:pPr>
    </w:p>
    <w:p w14:paraId="1989E4EA" w14:textId="2927C06E" w:rsidR="00117742" w:rsidRPr="005D23BC" w:rsidRDefault="00E85BF0" w:rsidP="00CF45F1">
      <w:pPr>
        <w:pStyle w:val="Prrafodelista"/>
        <w:numPr>
          <w:ilvl w:val="0"/>
          <w:numId w:val="5"/>
        </w:numPr>
        <w:spacing w:after="238"/>
        <w:ind w:right="652"/>
        <w:jc w:val="both"/>
        <w:rPr>
          <w:sz w:val="20"/>
          <w:szCs w:val="20"/>
        </w:rPr>
      </w:pPr>
      <w:r w:rsidRPr="005D23BC">
        <w:rPr>
          <w:sz w:val="20"/>
          <w:szCs w:val="20"/>
        </w:rPr>
        <w:t>A</w:t>
      </w:r>
      <w:r w:rsidR="00D36F38" w:rsidRPr="005D23BC">
        <w:rPr>
          <w:sz w:val="20"/>
          <w:szCs w:val="20"/>
        </w:rPr>
        <w:t xml:space="preserve"> partir de</w:t>
      </w:r>
      <w:r w:rsidR="00E96CE9" w:rsidRPr="005D23BC">
        <w:rPr>
          <w:sz w:val="20"/>
          <w:szCs w:val="20"/>
        </w:rPr>
        <w:t xml:space="preserve"> recibida la denuncia</w:t>
      </w:r>
      <w:r w:rsidR="00117742" w:rsidRPr="005D23BC">
        <w:rPr>
          <w:sz w:val="20"/>
          <w:szCs w:val="20"/>
        </w:rPr>
        <w:t xml:space="preserve"> y la documentación correspondiente en formato digital</w:t>
      </w:r>
      <w:r w:rsidR="00E96CE9" w:rsidRPr="005D23BC">
        <w:rPr>
          <w:sz w:val="20"/>
          <w:szCs w:val="20"/>
        </w:rPr>
        <w:t xml:space="preserve">, </w:t>
      </w:r>
      <w:r w:rsidRPr="005D23BC">
        <w:rPr>
          <w:sz w:val="20"/>
          <w:szCs w:val="20"/>
        </w:rPr>
        <w:t>durante 10 días corridos MAPFRE realizará las gestiones correspondientes para intimar al inquilino al pago de sus obligaciones.</w:t>
      </w:r>
    </w:p>
    <w:p w14:paraId="750DFC52" w14:textId="77777777" w:rsidR="00CF45F1" w:rsidRPr="005D23BC" w:rsidRDefault="00CF45F1" w:rsidP="00CF45F1">
      <w:pPr>
        <w:pStyle w:val="Prrafodelista"/>
        <w:spacing w:after="238"/>
        <w:ind w:left="799" w:right="652" w:firstLine="0"/>
        <w:jc w:val="both"/>
        <w:rPr>
          <w:sz w:val="20"/>
          <w:szCs w:val="20"/>
        </w:rPr>
      </w:pPr>
    </w:p>
    <w:p w14:paraId="6DA50BD3" w14:textId="2FB45F24" w:rsidR="00E96CE9" w:rsidRPr="005D23BC" w:rsidRDefault="00D36F38" w:rsidP="00CF45F1">
      <w:pPr>
        <w:pStyle w:val="Prrafodelista"/>
        <w:numPr>
          <w:ilvl w:val="0"/>
          <w:numId w:val="5"/>
        </w:numPr>
        <w:spacing w:after="238"/>
        <w:ind w:right="652"/>
        <w:jc w:val="both"/>
        <w:rPr>
          <w:sz w:val="20"/>
          <w:szCs w:val="20"/>
        </w:rPr>
      </w:pPr>
      <w:r w:rsidRPr="005D23BC">
        <w:rPr>
          <w:sz w:val="20"/>
          <w:szCs w:val="20"/>
        </w:rPr>
        <w:t xml:space="preserve">En caso de </w:t>
      </w:r>
      <w:r w:rsidR="00E85BF0" w:rsidRPr="005D23BC">
        <w:rPr>
          <w:sz w:val="20"/>
          <w:szCs w:val="20"/>
        </w:rPr>
        <w:t xml:space="preserve">persistir el incumplimiento, vencido el plazo referido </w:t>
      </w:r>
      <w:r w:rsidR="00CF45F1" w:rsidRPr="005D23BC">
        <w:rPr>
          <w:sz w:val="20"/>
          <w:szCs w:val="20"/>
        </w:rPr>
        <w:t xml:space="preserve">se instruirá el pago de los haberes impagos conforme a la cobertura contratada y </w:t>
      </w:r>
      <w:r w:rsidR="00E85BF0" w:rsidRPr="005D23BC">
        <w:rPr>
          <w:sz w:val="20"/>
          <w:szCs w:val="20"/>
        </w:rPr>
        <w:t>un abogado de MAPFRE se contactará con el Asegurado para promover las acciones judiciales tendientes al cobro</w:t>
      </w:r>
      <w:r w:rsidR="00CF45F1" w:rsidRPr="005D23BC">
        <w:rPr>
          <w:sz w:val="20"/>
          <w:szCs w:val="20"/>
        </w:rPr>
        <w:t xml:space="preserve"> de los adeudos</w:t>
      </w:r>
      <w:r w:rsidR="00E85BF0" w:rsidRPr="005D23BC">
        <w:rPr>
          <w:sz w:val="20"/>
          <w:szCs w:val="20"/>
        </w:rPr>
        <w:t xml:space="preserve"> y desocupación del inmueble</w:t>
      </w:r>
      <w:r w:rsidR="00CF45F1" w:rsidRPr="005D23BC">
        <w:rPr>
          <w:sz w:val="20"/>
          <w:szCs w:val="20"/>
        </w:rPr>
        <w:t>.</w:t>
      </w:r>
    </w:p>
    <w:p w14:paraId="09DFE6C7" w14:textId="5D613D01" w:rsidR="00E96CE9" w:rsidRPr="005D23BC" w:rsidRDefault="00D36F38" w:rsidP="00117742">
      <w:pPr>
        <w:tabs>
          <w:tab w:val="center" w:pos="8070"/>
          <w:tab w:val="center" w:pos="8975"/>
        </w:tabs>
        <w:spacing w:after="161" w:line="259" w:lineRule="auto"/>
        <w:jc w:val="both"/>
        <w:rPr>
          <w:sz w:val="20"/>
          <w:szCs w:val="20"/>
        </w:rPr>
      </w:pPr>
      <w:r w:rsidRPr="005D23BC">
        <w:rPr>
          <w:sz w:val="20"/>
          <w:szCs w:val="20"/>
        </w:rPr>
        <w:t>Para las acciones legales el asegurado deberá presentar:</w:t>
      </w:r>
    </w:p>
    <w:p w14:paraId="584D23FA" w14:textId="17D62B92" w:rsidR="002830AC" w:rsidRPr="005D23BC" w:rsidRDefault="005D23BC" w:rsidP="005D23BC">
      <w:pPr>
        <w:numPr>
          <w:ilvl w:val="1"/>
          <w:numId w:val="1"/>
        </w:numPr>
        <w:spacing w:after="45"/>
        <w:ind w:right="652" w:hanging="360"/>
        <w:jc w:val="both"/>
        <w:rPr>
          <w:sz w:val="20"/>
          <w:szCs w:val="20"/>
        </w:rPr>
      </w:pPr>
      <w:r w:rsidRPr="005D23B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1F0C9F" wp14:editId="1B33F8BF">
                <wp:simplePos x="0" y="0"/>
                <wp:positionH relativeFrom="page">
                  <wp:posOffset>711200</wp:posOffset>
                </wp:positionH>
                <wp:positionV relativeFrom="page">
                  <wp:posOffset>347980</wp:posOffset>
                </wp:positionV>
                <wp:extent cx="6161786" cy="513715"/>
                <wp:effectExtent l="0" t="0" r="0" b="0"/>
                <wp:wrapTopAndBottom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786" cy="513715"/>
                          <a:chOff x="0" y="0"/>
                          <a:chExt cx="6161786" cy="51371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2500" y="0"/>
                            <a:ext cx="1399286" cy="513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Shape 24"/>
                        <wps:cNvSpPr/>
                        <wps:spPr>
                          <a:xfrm>
                            <a:off x="0" y="452120"/>
                            <a:ext cx="614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00">
                                <a:moveTo>
                                  <a:pt x="0" y="0"/>
                                </a:moveTo>
                                <a:lnTo>
                                  <a:pt x="6146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7" style="width:485.18pt;height:40.45pt;position:absolute;mso-position-horizontal-relative:page;mso-position-horizontal:absolute;margin-left:56pt;mso-position-vertical-relative:page;margin-top:27.4pt;" coordsize="61617,5137">
                <v:shape id="Picture 7" style="position:absolute;width:13992;height:5137;left:47625;top:0;" filled="f">
                  <v:imagedata r:id="rId7"/>
                </v:shape>
                <v:shape id="Shape 24" style="position:absolute;width:61468;height:0;left:0;top:4521;" coordsize="6146800,0" path="m0,0l6146800,0">
                  <v:stroke weight="0.5pt" endcap="flat" joinstyle="miter" miterlimit="10" on="true" color="#ff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5D23BC">
        <w:rPr>
          <w:sz w:val="20"/>
          <w:szCs w:val="20"/>
        </w:rPr>
        <w:t>Carta de comunicación del siniestro dirigida al Dpto. de Siniestros con el detalle de las sumas no pagas por parte del inquilino. (</w:t>
      </w:r>
      <w:r w:rsidR="00CF45F1" w:rsidRPr="005D23BC">
        <w:rPr>
          <w:sz w:val="20"/>
          <w:szCs w:val="20"/>
        </w:rPr>
        <w:t>de acuerdo con el modelo de MAPFRE</w:t>
      </w:r>
      <w:r w:rsidRPr="005D23BC">
        <w:rPr>
          <w:sz w:val="20"/>
          <w:szCs w:val="20"/>
        </w:rPr>
        <w:t xml:space="preserve">). </w:t>
      </w:r>
    </w:p>
    <w:p w14:paraId="226A1752" w14:textId="77777777" w:rsidR="002830AC" w:rsidRPr="005D23BC" w:rsidRDefault="005D23BC" w:rsidP="005D23BC">
      <w:pPr>
        <w:numPr>
          <w:ilvl w:val="1"/>
          <w:numId w:val="1"/>
        </w:numPr>
        <w:spacing w:after="67"/>
        <w:ind w:right="652" w:hanging="360"/>
        <w:jc w:val="both"/>
        <w:rPr>
          <w:sz w:val="20"/>
          <w:szCs w:val="20"/>
        </w:rPr>
      </w:pPr>
      <w:r w:rsidRPr="005D23BC">
        <w:rPr>
          <w:sz w:val="20"/>
          <w:szCs w:val="20"/>
        </w:rPr>
        <w:t xml:space="preserve">Copia de los recibos pagos hasta la fecha. </w:t>
      </w:r>
    </w:p>
    <w:p w14:paraId="5B0D7509" w14:textId="47257F41" w:rsidR="002830AC" w:rsidRPr="005D23BC" w:rsidRDefault="005D23BC" w:rsidP="005D23BC">
      <w:pPr>
        <w:numPr>
          <w:ilvl w:val="1"/>
          <w:numId w:val="1"/>
        </w:numPr>
        <w:ind w:right="652" w:hanging="360"/>
        <w:jc w:val="both"/>
        <w:rPr>
          <w:sz w:val="20"/>
          <w:szCs w:val="20"/>
        </w:rPr>
      </w:pPr>
      <w:r w:rsidRPr="005D23BC">
        <w:rPr>
          <w:sz w:val="20"/>
          <w:szCs w:val="20"/>
        </w:rPr>
        <w:t xml:space="preserve">Copia del contrato de arrendamiento firmado por las dos partes. </w:t>
      </w:r>
      <w:r w:rsidRPr="005D23BC">
        <w:rPr>
          <w:sz w:val="20"/>
          <w:szCs w:val="20"/>
        </w:rPr>
        <w:tab/>
      </w:r>
      <w:r w:rsidRPr="005D23BC">
        <w:rPr>
          <w:b/>
          <w:sz w:val="20"/>
          <w:szCs w:val="20"/>
          <w:vertAlign w:val="subscript"/>
        </w:rPr>
        <w:t xml:space="preserve"> </w:t>
      </w:r>
    </w:p>
    <w:p w14:paraId="2E4FC8B7" w14:textId="77777777" w:rsidR="002830AC" w:rsidRPr="005D23BC" w:rsidRDefault="005D23BC" w:rsidP="005D23BC">
      <w:pPr>
        <w:numPr>
          <w:ilvl w:val="1"/>
          <w:numId w:val="1"/>
        </w:numPr>
        <w:ind w:right="652" w:hanging="360"/>
        <w:jc w:val="both"/>
        <w:rPr>
          <w:sz w:val="20"/>
          <w:szCs w:val="20"/>
        </w:rPr>
      </w:pPr>
      <w:r w:rsidRPr="005D23BC">
        <w:rPr>
          <w:sz w:val="20"/>
          <w:szCs w:val="20"/>
        </w:rPr>
        <w:t xml:space="preserve">Recibos de contribución inmobiliaria al día. </w:t>
      </w:r>
    </w:p>
    <w:p w14:paraId="5124F81B" w14:textId="0E523325" w:rsidR="002830AC" w:rsidRPr="005D23BC" w:rsidRDefault="005D23BC" w:rsidP="005D23BC">
      <w:pPr>
        <w:numPr>
          <w:ilvl w:val="0"/>
          <w:numId w:val="2"/>
        </w:numPr>
        <w:spacing w:after="42"/>
        <w:ind w:right="652" w:hanging="360"/>
        <w:jc w:val="both"/>
        <w:rPr>
          <w:sz w:val="20"/>
          <w:szCs w:val="20"/>
        </w:rPr>
      </w:pPr>
      <w:r w:rsidRPr="005D23BC">
        <w:rPr>
          <w:sz w:val="20"/>
          <w:szCs w:val="20"/>
        </w:rPr>
        <w:t xml:space="preserve">Certificado de encontrarse al día con el IRPF del pago de alquileres o certificado de exoneración. </w:t>
      </w:r>
    </w:p>
    <w:p w14:paraId="124F0212" w14:textId="74F46D84" w:rsidR="002830AC" w:rsidRPr="005D23BC" w:rsidRDefault="005D23BC" w:rsidP="005D23BC">
      <w:pPr>
        <w:numPr>
          <w:ilvl w:val="0"/>
          <w:numId w:val="2"/>
        </w:numPr>
        <w:ind w:right="652" w:hanging="360"/>
        <w:jc w:val="both"/>
        <w:rPr>
          <w:sz w:val="20"/>
          <w:szCs w:val="20"/>
        </w:rPr>
      </w:pPr>
      <w:r w:rsidRPr="005D23BC">
        <w:rPr>
          <w:sz w:val="20"/>
          <w:szCs w:val="20"/>
        </w:rPr>
        <w:t xml:space="preserve">Eventualmente puede solicitarse otra información para iniciar las gestiones de intimación o desalojo. </w:t>
      </w:r>
    </w:p>
    <w:p w14:paraId="7C0F3358" w14:textId="254F0BB8" w:rsidR="002830AC" w:rsidRDefault="002830AC" w:rsidP="00117742">
      <w:pPr>
        <w:spacing w:line="259" w:lineRule="auto"/>
        <w:ind w:left="849" w:firstLine="0"/>
      </w:pPr>
    </w:p>
    <w:p w14:paraId="54CCB766" w14:textId="6C1FD580" w:rsidR="00117742" w:rsidRDefault="005D23BC" w:rsidP="005D23BC">
      <w:pPr>
        <w:spacing w:line="259" w:lineRule="auto"/>
      </w:pPr>
      <w:r>
        <w:rPr>
          <w:noProof/>
        </w:rPr>
        <w:drawing>
          <wp:inline distT="0" distB="0" distL="0" distR="0" wp14:anchorId="2AC51234" wp14:editId="0BC96B47">
            <wp:extent cx="6376035" cy="1206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60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595C" w14:textId="083BF474" w:rsidR="002830AC" w:rsidRDefault="005D23BC">
      <w:pPr>
        <w:spacing w:line="259" w:lineRule="auto"/>
        <w:ind w:left="0" w:right="138" w:firstLine="0"/>
        <w:jc w:val="center"/>
      </w:pPr>
      <w:r w:rsidRPr="005D23BC">
        <w:rPr>
          <w:color w:val="C00000"/>
          <w:sz w:val="16"/>
          <w:szCs w:val="16"/>
        </w:rPr>
        <w:t>Br. Artigas 3075 esq. Antonio Machado – Montevideo, Uruguay</w:t>
      </w:r>
      <w:r>
        <w:rPr>
          <w:color w:val="C00000"/>
          <w:sz w:val="18"/>
        </w:rPr>
        <w:t xml:space="preserve">                +598 2915 55 55            siniestrosalquileres@mafpre.com.uy</w:t>
      </w:r>
      <w:r>
        <w:rPr>
          <w:sz w:val="18"/>
        </w:rPr>
        <w:t xml:space="preserve"> </w:t>
      </w:r>
    </w:p>
    <w:sectPr w:rsidR="002830AC">
      <w:pgSz w:w="11906" w:h="16838"/>
      <w:pgMar w:top="1440" w:right="864" w:bottom="1440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4546A"/>
    <w:multiLevelType w:val="hybridMultilevel"/>
    <w:tmpl w:val="80BC105C"/>
    <w:lvl w:ilvl="0" w:tplc="380A000F">
      <w:start w:val="1"/>
      <w:numFmt w:val="decimal"/>
      <w:lvlText w:val="%1."/>
      <w:lvlJc w:val="left"/>
      <w:pPr>
        <w:ind w:left="773" w:hanging="360"/>
      </w:pPr>
    </w:lvl>
    <w:lvl w:ilvl="1" w:tplc="380A0019">
      <w:start w:val="1"/>
      <w:numFmt w:val="lowerLetter"/>
      <w:lvlText w:val="%2."/>
      <w:lvlJc w:val="left"/>
      <w:pPr>
        <w:ind w:left="1493" w:hanging="360"/>
      </w:pPr>
    </w:lvl>
    <w:lvl w:ilvl="2" w:tplc="380A001B" w:tentative="1">
      <w:start w:val="1"/>
      <w:numFmt w:val="lowerRoman"/>
      <w:lvlText w:val="%3."/>
      <w:lvlJc w:val="right"/>
      <w:pPr>
        <w:ind w:left="2213" w:hanging="180"/>
      </w:pPr>
    </w:lvl>
    <w:lvl w:ilvl="3" w:tplc="380A000F" w:tentative="1">
      <w:start w:val="1"/>
      <w:numFmt w:val="decimal"/>
      <w:lvlText w:val="%4."/>
      <w:lvlJc w:val="left"/>
      <w:pPr>
        <w:ind w:left="2933" w:hanging="360"/>
      </w:pPr>
    </w:lvl>
    <w:lvl w:ilvl="4" w:tplc="380A0019" w:tentative="1">
      <w:start w:val="1"/>
      <w:numFmt w:val="lowerLetter"/>
      <w:lvlText w:val="%5."/>
      <w:lvlJc w:val="left"/>
      <w:pPr>
        <w:ind w:left="3653" w:hanging="360"/>
      </w:pPr>
    </w:lvl>
    <w:lvl w:ilvl="5" w:tplc="380A001B" w:tentative="1">
      <w:start w:val="1"/>
      <w:numFmt w:val="lowerRoman"/>
      <w:lvlText w:val="%6."/>
      <w:lvlJc w:val="right"/>
      <w:pPr>
        <w:ind w:left="4373" w:hanging="180"/>
      </w:pPr>
    </w:lvl>
    <w:lvl w:ilvl="6" w:tplc="380A000F" w:tentative="1">
      <w:start w:val="1"/>
      <w:numFmt w:val="decimal"/>
      <w:lvlText w:val="%7."/>
      <w:lvlJc w:val="left"/>
      <w:pPr>
        <w:ind w:left="5093" w:hanging="360"/>
      </w:pPr>
    </w:lvl>
    <w:lvl w:ilvl="7" w:tplc="380A0019" w:tentative="1">
      <w:start w:val="1"/>
      <w:numFmt w:val="lowerLetter"/>
      <w:lvlText w:val="%8."/>
      <w:lvlJc w:val="left"/>
      <w:pPr>
        <w:ind w:left="5813" w:hanging="360"/>
      </w:pPr>
    </w:lvl>
    <w:lvl w:ilvl="8" w:tplc="38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2CCE1369"/>
    <w:multiLevelType w:val="hybridMultilevel"/>
    <w:tmpl w:val="656AEE12"/>
    <w:lvl w:ilvl="0" w:tplc="380A000F">
      <w:start w:val="1"/>
      <w:numFmt w:val="decimal"/>
      <w:lvlText w:val="%1."/>
      <w:lvlJc w:val="left"/>
      <w:pPr>
        <w:ind w:left="799" w:hanging="360"/>
      </w:pPr>
    </w:lvl>
    <w:lvl w:ilvl="1" w:tplc="380A0019">
      <w:start w:val="1"/>
      <w:numFmt w:val="lowerLetter"/>
      <w:lvlText w:val="%2."/>
      <w:lvlJc w:val="left"/>
      <w:pPr>
        <w:ind w:left="1519" w:hanging="360"/>
      </w:pPr>
    </w:lvl>
    <w:lvl w:ilvl="2" w:tplc="380A001B" w:tentative="1">
      <w:start w:val="1"/>
      <w:numFmt w:val="lowerRoman"/>
      <w:lvlText w:val="%3."/>
      <w:lvlJc w:val="right"/>
      <w:pPr>
        <w:ind w:left="2239" w:hanging="180"/>
      </w:pPr>
    </w:lvl>
    <w:lvl w:ilvl="3" w:tplc="380A000F" w:tentative="1">
      <w:start w:val="1"/>
      <w:numFmt w:val="decimal"/>
      <w:lvlText w:val="%4."/>
      <w:lvlJc w:val="left"/>
      <w:pPr>
        <w:ind w:left="2959" w:hanging="360"/>
      </w:pPr>
    </w:lvl>
    <w:lvl w:ilvl="4" w:tplc="380A0019" w:tentative="1">
      <w:start w:val="1"/>
      <w:numFmt w:val="lowerLetter"/>
      <w:lvlText w:val="%5."/>
      <w:lvlJc w:val="left"/>
      <w:pPr>
        <w:ind w:left="3679" w:hanging="360"/>
      </w:pPr>
    </w:lvl>
    <w:lvl w:ilvl="5" w:tplc="380A001B" w:tentative="1">
      <w:start w:val="1"/>
      <w:numFmt w:val="lowerRoman"/>
      <w:lvlText w:val="%6."/>
      <w:lvlJc w:val="right"/>
      <w:pPr>
        <w:ind w:left="4399" w:hanging="180"/>
      </w:pPr>
    </w:lvl>
    <w:lvl w:ilvl="6" w:tplc="380A000F" w:tentative="1">
      <w:start w:val="1"/>
      <w:numFmt w:val="decimal"/>
      <w:lvlText w:val="%7."/>
      <w:lvlJc w:val="left"/>
      <w:pPr>
        <w:ind w:left="5119" w:hanging="360"/>
      </w:pPr>
    </w:lvl>
    <w:lvl w:ilvl="7" w:tplc="380A0019" w:tentative="1">
      <w:start w:val="1"/>
      <w:numFmt w:val="lowerLetter"/>
      <w:lvlText w:val="%8."/>
      <w:lvlJc w:val="left"/>
      <w:pPr>
        <w:ind w:left="5839" w:hanging="360"/>
      </w:pPr>
    </w:lvl>
    <w:lvl w:ilvl="8" w:tplc="380A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" w15:restartNumberingAfterBreak="0">
    <w:nsid w:val="4A445859"/>
    <w:multiLevelType w:val="hybridMultilevel"/>
    <w:tmpl w:val="42B21D5C"/>
    <w:lvl w:ilvl="0" w:tplc="AB08D91C">
      <w:start w:val="1"/>
      <w:numFmt w:val="decimal"/>
      <w:lvlText w:val="%1.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61E80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06AFA">
      <w:start w:val="1"/>
      <w:numFmt w:val="bullet"/>
      <w:lvlText w:val="▪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A515E">
      <w:start w:val="1"/>
      <w:numFmt w:val="bullet"/>
      <w:lvlText w:val="•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C5BFE">
      <w:start w:val="1"/>
      <w:numFmt w:val="bullet"/>
      <w:lvlText w:val="o"/>
      <w:lvlJc w:val="left"/>
      <w:pPr>
        <w:ind w:left="3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62EB1C">
      <w:start w:val="1"/>
      <w:numFmt w:val="bullet"/>
      <w:lvlText w:val="▪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27E1E">
      <w:start w:val="1"/>
      <w:numFmt w:val="bullet"/>
      <w:lvlText w:val="•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2DE6A">
      <w:start w:val="1"/>
      <w:numFmt w:val="bullet"/>
      <w:lvlText w:val="o"/>
      <w:lvlJc w:val="left"/>
      <w:pPr>
        <w:ind w:left="5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AC083E">
      <w:start w:val="1"/>
      <w:numFmt w:val="bullet"/>
      <w:lvlText w:val="▪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A31D66"/>
    <w:multiLevelType w:val="hybridMultilevel"/>
    <w:tmpl w:val="F4A27930"/>
    <w:lvl w:ilvl="0" w:tplc="9138BD58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7B2E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0C0096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CFE4A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F2F956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86628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E4182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2B4C0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C2D92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954493"/>
    <w:multiLevelType w:val="hybridMultilevel"/>
    <w:tmpl w:val="016E295E"/>
    <w:lvl w:ilvl="0" w:tplc="55E6DA6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8F9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284D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B407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05B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C56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E82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890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4E9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AC"/>
    <w:rsid w:val="00117742"/>
    <w:rsid w:val="002830AC"/>
    <w:rsid w:val="002C0E6A"/>
    <w:rsid w:val="005D23BC"/>
    <w:rsid w:val="007F0481"/>
    <w:rsid w:val="00BF3939"/>
    <w:rsid w:val="00CF45F1"/>
    <w:rsid w:val="00D36F38"/>
    <w:rsid w:val="00E85BF0"/>
    <w:rsid w:val="00E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3589"/>
  <w15:docId w15:val="{903B02AB-EF2B-452A-9886-AF5756D5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89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868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59"/>
      <w:jc w:val="right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16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96C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C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siniestrosalquileres@mapfre.com.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Klosz</dc:creator>
  <cp:keywords/>
  <cp:lastModifiedBy>Valentina Varela</cp:lastModifiedBy>
  <cp:revision>2</cp:revision>
  <dcterms:created xsi:type="dcterms:W3CDTF">2022-02-11T17:28:00Z</dcterms:created>
  <dcterms:modified xsi:type="dcterms:W3CDTF">2022-02-11T17:28:00Z</dcterms:modified>
</cp:coreProperties>
</file>